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E9" w:rsidRDefault="00C046E9" w:rsidP="00C046E9">
      <w:pPr>
        <w:pStyle w:val="Header"/>
        <w:pBdr>
          <w:bottom w:val="single" w:sz="4" w:space="1" w:color="auto"/>
        </w:pBdr>
        <w:tabs>
          <w:tab w:val="clear" w:pos="4320"/>
          <w:tab w:val="clear" w:pos="8640"/>
          <w:tab w:val="right" w:pos="9000"/>
        </w:tabs>
      </w:pPr>
      <w:r>
        <w:rPr>
          <w:noProof/>
        </w:rPr>
        <w:t>21 December 2016</w:t>
      </w:r>
      <w:r>
        <w:tab/>
        <w:t>4:175-AP1</w:t>
      </w:r>
    </w:p>
    <w:p w:rsidR="00C046E9" w:rsidRDefault="00C046E9" w:rsidP="00C046E9">
      <w:pPr>
        <w:tabs>
          <w:tab w:val="right" w:pos="9000"/>
        </w:tabs>
      </w:pPr>
    </w:p>
    <w:p w:rsidR="00C046E9" w:rsidRDefault="00C046E9" w:rsidP="00C046E9">
      <w:pPr>
        <w:pStyle w:val="Heading1"/>
        <w:spacing w:after="0"/>
      </w:pPr>
      <w:r>
        <w:t>Operational Services</w:t>
      </w:r>
    </w:p>
    <w:p w:rsidR="00C046E9" w:rsidRDefault="00C046E9" w:rsidP="00C046E9">
      <w:pPr>
        <w:pStyle w:val="Heading2"/>
        <w:spacing w:before="0" w:after="0"/>
      </w:pPr>
      <w:r>
        <w:t xml:space="preserve">Administrative Procedure - Criminal </w:t>
      </w:r>
      <w:r w:rsidRPr="00076B23">
        <w:t xml:space="preserve">Offender </w:t>
      </w:r>
      <w:r>
        <w:t>Notification Laws; Screening</w:t>
      </w:r>
    </w:p>
    <w:p w:rsidR="00C046E9" w:rsidRPr="004979B0" w:rsidRDefault="00C046E9" w:rsidP="00C046E9">
      <w:pPr>
        <w:pStyle w:val="BodyText"/>
        <w:spacing w:before="0" w:after="0"/>
        <w:rPr>
          <w:u w:val="single"/>
        </w:rPr>
      </w:pPr>
      <w:r>
        <w:rPr>
          <w:u w:val="single"/>
        </w:rPr>
        <w:t>Laws P</w:t>
      </w:r>
      <w:r w:rsidRPr="004979B0">
        <w:rPr>
          <w:u w:val="single"/>
        </w:rPr>
        <w:t xml:space="preserve">rotecting </w:t>
      </w:r>
      <w:r>
        <w:rPr>
          <w:u w:val="single"/>
        </w:rPr>
        <w:t>S</w:t>
      </w:r>
      <w:r w:rsidRPr="004979B0">
        <w:rPr>
          <w:u w:val="single"/>
        </w:rPr>
        <w:t xml:space="preserve">tudents on </w:t>
      </w:r>
      <w:r>
        <w:rPr>
          <w:u w:val="single"/>
        </w:rPr>
        <w:t>S</w:t>
      </w:r>
      <w:r w:rsidRPr="004979B0">
        <w:rPr>
          <w:u w:val="single"/>
        </w:rPr>
        <w:t xml:space="preserve">chool </w:t>
      </w:r>
      <w:r>
        <w:rPr>
          <w:u w:val="single"/>
        </w:rPr>
        <w:t>G</w:t>
      </w:r>
      <w:r w:rsidRPr="004979B0">
        <w:rPr>
          <w:u w:val="single"/>
        </w:rPr>
        <w:t>rounds</w:t>
      </w:r>
    </w:p>
    <w:p w:rsidR="00C046E9" w:rsidRDefault="00C046E9" w:rsidP="00C046E9">
      <w:pPr>
        <w:pStyle w:val="BodyText"/>
        <w:spacing w:before="0" w:after="0"/>
      </w:pPr>
      <w:r>
        <w:t>The following list describes laws protecting students on school grounds from individuals convicted of serious crimes:</w:t>
      </w:r>
    </w:p>
    <w:p w:rsidR="00C046E9" w:rsidRDefault="00C046E9" w:rsidP="00C046E9">
      <w:pPr>
        <w:pStyle w:val="LISTNUMBERDOUBLE"/>
        <w:numPr>
          <w:ilvl w:val="0"/>
          <w:numId w:val="6"/>
        </w:numPr>
        <w:spacing w:before="0" w:after="0"/>
      </w:pPr>
      <w:r>
        <w:t>A child sex offender is prohibited from being present on school property or loitering within 500 feet of school property when persons under the age of 18 are present unless specifically permitted by statute (</w:t>
      </w:r>
      <w:r w:rsidRPr="0054450B">
        <w:t>720 ILCS 5/11-9.3</w:t>
      </w:r>
      <w:r>
        <w:t>). See School Board policies 4:175,</w:t>
      </w:r>
      <w:r w:rsidRPr="00425DD5">
        <w:rPr>
          <w:i/>
        </w:rPr>
        <w:t xml:space="preserve"> Convicted Child Sex Offender; Screen</w:t>
      </w:r>
      <w:r>
        <w:rPr>
          <w:i/>
        </w:rPr>
        <w:t>ing</w:t>
      </w:r>
      <w:r w:rsidRPr="00425DD5">
        <w:rPr>
          <w:i/>
        </w:rPr>
        <w:t>; Notifications</w:t>
      </w:r>
      <w:r>
        <w:rPr>
          <w:iCs/>
        </w:rPr>
        <w:t>;</w:t>
      </w:r>
      <w:r>
        <w:t xml:space="preserve"> 8:30, </w:t>
      </w:r>
      <w:r>
        <w:rPr>
          <w:i/>
          <w:iCs/>
        </w:rPr>
        <w:t>Visitors to and Conduct on School Property</w:t>
      </w:r>
      <w:r>
        <w:rPr>
          <w:iCs/>
        </w:rPr>
        <w:t xml:space="preserve">; and administrative procedure </w:t>
      </w:r>
      <w:r>
        <w:t xml:space="preserve">8:30-AP, </w:t>
      </w:r>
      <w:r w:rsidRPr="006E2212">
        <w:rPr>
          <w:i/>
        </w:rPr>
        <w:t>Definition of Child Sex Offender</w:t>
      </w:r>
      <w:r>
        <w:t xml:space="preserve">. </w:t>
      </w:r>
    </w:p>
    <w:p w:rsidR="00C046E9" w:rsidRDefault="00C046E9" w:rsidP="00C046E9">
      <w:pPr>
        <w:pStyle w:val="LISTNUMBERDOUBLE"/>
        <w:numPr>
          <w:ilvl w:val="0"/>
          <w:numId w:val="6"/>
        </w:numPr>
        <w:spacing w:before="0" w:after="0"/>
      </w:pPr>
      <w:r>
        <w:t xml:space="preserve">Law enforcement must notify schools of offenders who reside or are employed in the county. See: (a) Sex Offender Community Notification Law, 730 ILCS 152/ and (b) </w:t>
      </w:r>
      <w:r w:rsidRPr="00473C92">
        <w:t>Murder</w:t>
      </w:r>
      <w:r>
        <w:t>er</w:t>
      </w:r>
      <w:r w:rsidRPr="00473C92">
        <w:t xml:space="preserve"> and Violent Offender Against Youth Community Notification Law, 730 ILCS 154/75</w:t>
      </w:r>
      <w:r>
        <w:t>-</w:t>
      </w:r>
      <w:r w:rsidRPr="00473C92">
        <w:t>105</w:t>
      </w:r>
      <w:r>
        <w:t>. These laws are hereafter referred to as “offender notification laws.” See also policy 4:175,</w:t>
      </w:r>
      <w:r w:rsidRPr="009A2B22">
        <w:rPr>
          <w:i/>
        </w:rPr>
        <w:t xml:space="preserve"> </w:t>
      </w:r>
      <w:r w:rsidRPr="00425DD5">
        <w:rPr>
          <w:i/>
        </w:rPr>
        <w:t>Convicted Child Sex Offender; Screen</w:t>
      </w:r>
      <w:r>
        <w:rPr>
          <w:i/>
        </w:rPr>
        <w:t>ing</w:t>
      </w:r>
      <w:r w:rsidRPr="00425DD5">
        <w:rPr>
          <w:i/>
        </w:rPr>
        <w:t>; Notifications</w:t>
      </w:r>
      <w:r>
        <w:t>.</w:t>
      </w:r>
    </w:p>
    <w:p w:rsidR="00C046E9" w:rsidRDefault="00C046E9" w:rsidP="00C046E9">
      <w:pPr>
        <w:pStyle w:val="LISTNUMBERDOUBLE"/>
        <w:numPr>
          <w:ilvl w:val="0"/>
          <w:numId w:val="6"/>
        </w:numPr>
        <w:spacing w:before="0" w:after="0"/>
      </w:pPr>
      <w:r w:rsidRPr="0007682E">
        <w:t>The School Code</w:t>
      </w:r>
      <w:r>
        <w:t xml:space="preserve"> (105 ILCS 5/10-21.9, 5/21B-5 and 5/21B-80) lists criminal offenses that disqualify an individual from District employment if the individual was convicted. 105 ILCS 5/20-21.9 requires any person hired by the District to submit to a fingerprint-based criminal history records check through (a) the Illinois State Police (ISP) for an individual’s </w:t>
      </w:r>
      <w:r>
        <w:rPr>
          <w:i/>
        </w:rPr>
        <w:t>C</w:t>
      </w:r>
      <w:r w:rsidRPr="00153249">
        <w:rPr>
          <w:i/>
        </w:rPr>
        <w:t xml:space="preserve">riminal </w:t>
      </w:r>
      <w:r>
        <w:rPr>
          <w:i/>
        </w:rPr>
        <w:t>History Records I</w:t>
      </w:r>
      <w:r w:rsidRPr="00153249">
        <w:rPr>
          <w:i/>
        </w:rPr>
        <w:t>nformation</w:t>
      </w:r>
      <w:r>
        <w:t xml:space="preserve"> (CHRI) and (b) the FBI’s national crime information databases. The law also requires a</w:t>
      </w:r>
      <w:r w:rsidRPr="00E326CE">
        <w:t xml:space="preserve"> school district </w:t>
      </w:r>
      <w:r>
        <w:t xml:space="preserve">to </w:t>
      </w:r>
      <w:r w:rsidRPr="00E326CE">
        <w:t xml:space="preserve">check </w:t>
      </w:r>
      <w:r>
        <w:t xml:space="preserve">two Illinois offender databases </w:t>
      </w:r>
      <w:r w:rsidRPr="00E326CE">
        <w:t>for each applicant</w:t>
      </w:r>
      <w:r>
        <w:t xml:space="preserve">, which are (a) </w:t>
      </w:r>
      <w:r w:rsidRPr="00E326CE">
        <w:t xml:space="preserve">the Statewide Sex Offender </w:t>
      </w:r>
      <w:r>
        <w:t>Registry</w:t>
      </w:r>
      <w:r w:rsidRPr="00E326CE">
        <w:t>,</w:t>
      </w:r>
      <w:r>
        <w:t xml:space="preserve"> </w:t>
      </w:r>
      <w:r>
        <w:fldChar w:fldCharType="begin"/>
      </w:r>
      <w:r>
        <w:instrText xml:space="preserve"> HYPERLINK "http://</w:instrText>
      </w:r>
      <w:r w:rsidRPr="00B23B31">
        <w:instrText>www.isp.state.il.us/sor/</w:instrText>
      </w:r>
      <w:r>
        <w:instrText xml:space="preserve">" </w:instrText>
      </w:r>
      <w:r>
        <w:fldChar w:fldCharType="separate"/>
      </w:r>
      <w:r w:rsidRPr="00535175">
        <w:rPr>
          <w:rStyle w:val="Hyperlink"/>
        </w:rPr>
        <w:t>www.isp.s</w:t>
      </w:r>
      <w:r w:rsidRPr="00535175">
        <w:rPr>
          <w:rStyle w:val="Hyperlink"/>
        </w:rPr>
        <w:t>t</w:t>
      </w:r>
      <w:r w:rsidRPr="00535175">
        <w:rPr>
          <w:rStyle w:val="Hyperlink"/>
        </w:rPr>
        <w:t>ate.</w:t>
      </w:r>
      <w:r w:rsidRPr="00535175">
        <w:rPr>
          <w:rStyle w:val="Hyperlink"/>
        </w:rPr>
        <w:t>i</w:t>
      </w:r>
      <w:r w:rsidRPr="00535175">
        <w:rPr>
          <w:rStyle w:val="Hyperlink"/>
        </w:rPr>
        <w:t>l.us/sor/</w:t>
      </w:r>
      <w:r>
        <w:fldChar w:fldCharType="end"/>
      </w:r>
      <w:r>
        <w:t xml:space="preserve"> and (b) </w:t>
      </w:r>
      <w:r w:rsidRPr="00E326CE">
        <w:t xml:space="preserve">the Statewide Murderer and Violent Offender Against Youth </w:t>
      </w:r>
      <w:r>
        <w:t>Registry</w:t>
      </w:r>
      <w:r w:rsidRPr="00E326CE">
        <w:t xml:space="preserve">, </w:t>
      </w:r>
      <w:hyperlink r:id="rId5" w:history="1">
        <w:r w:rsidRPr="006D6B8E">
          <w:rPr>
            <w:rStyle w:val="Hyperlink"/>
          </w:rPr>
          <w:t>www.isp.state.i</w:t>
        </w:r>
        <w:r w:rsidRPr="006D6B8E">
          <w:rPr>
            <w:rStyle w:val="Hyperlink"/>
          </w:rPr>
          <w:t>l</w:t>
        </w:r>
        <w:r w:rsidRPr="006D6B8E">
          <w:rPr>
            <w:rStyle w:val="Hyperlink"/>
          </w:rPr>
          <w:t>.us/cmvo/</w:t>
        </w:r>
      </w:hyperlink>
      <w:r>
        <w:t xml:space="preserve">. Obtaining the results of the fingerprint-based criminal history records check and review of the database registries is a </w:t>
      </w:r>
      <w:r w:rsidRPr="00153249">
        <w:rPr>
          <w:i/>
        </w:rPr>
        <w:t>complete criminal history records check</w:t>
      </w:r>
      <w:r>
        <w:t xml:space="preserve"> as required by the School Code. See Board policy 5:30, </w:t>
      </w:r>
      <w:r>
        <w:rPr>
          <w:i/>
        </w:rPr>
        <w:t>Hiring Process and Criteria</w:t>
      </w:r>
      <w:r>
        <w:t xml:space="preserve">; </w:t>
      </w:r>
      <w:r w:rsidRPr="005260A8">
        <w:t xml:space="preserve">administrative procedure 5:30-AP2, </w:t>
      </w:r>
      <w:r w:rsidRPr="005260A8">
        <w:rPr>
          <w:i/>
        </w:rPr>
        <w:t>Investigations</w:t>
      </w:r>
      <w:r>
        <w:t xml:space="preserve">, and </w:t>
      </w:r>
      <w:r w:rsidRPr="00153249">
        <w:t xml:space="preserve">ISBE’s non-regulatory guidance document, </w:t>
      </w:r>
      <w:r w:rsidRPr="00153249">
        <w:rPr>
          <w:i/>
        </w:rPr>
        <w:t>Criminal History Records Information (CHRI) Checks for Certified and Non-certified School Personnel</w:t>
      </w:r>
      <w:r w:rsidRPr="00153249">
        <w:t>, at:</w:t>
      </w:r>
    </w:p>
    <w:p w:rsidR="00C046E9" w:rsidRDefault="00C046E9" w:rsidP="00C046E9">
      <w:pPr>
        <w:pStyle w:val="LISTNUMBERDOUBLE"/>
        <w:spacing w:before="0" w:after="0"/>
        <w:ind w:firstLine="0"/>
      </w:pPr>
      <w:hyperlink r:id="rId6" w:history="1">
        <w:r w:rsidRPr="00346D67">
          <w:rPr>
            <w:rStyle w:val="Hyperlink"/>
          </w:rPr>
          <w:t>www.isbe.net/pdf/guidan</w:t>
        </w:r>
        <w:r w:rsidRPr="00346D67">
          <w:rPr>
            <w:rStyle w:val="Hyperlink"/>
          </w:rPr>
          <w:t>c</w:t>
        </w:r>
        <w:r w:rsidRPr="00346D67">
          <w:rPr>
            <w:rStyle w:val="Hyperlink"/>
          </w:rPr>
          <w:t>e_chr.pdf</w:t>
        </w:r>
      </w:hyperlink>
      <w:r>
        <w:t xml:space="preserve">. </w:t>
      </w:r>
    </w:p>
    <w:p w:rsidR="00C046E9" w:rsidRDefault="00C046E9" w:rsidP="00C046E9">
      <w:pPr>
        <w:pStyle w:val="LISTNUMBERDOUBLE"/>
        <w:numPr>
          <w:ilvl w:val="0"/>
          <w:numId w:val="6"/>
        </w:numPr>
        <w:spacing w:before="0" w:after="0"/>
      </w:pPr>
      <w:r w:rsidRPr="00310C3E">
        <w:rPr>
          <w:b/>
        </w:rPr>
        <w:t>Note</w:t>
      </w:r>
      <w:r>
        <w:t xml:space="preserve">: A District may also check the </w:t>
      </w:r>
      <w:r w:rsidRPr="00545A67">
        <w:t>National Sex Offender</w:t>
      </w:r>
      <w:r>
        <w:t xml:space="preserve"> Public Registry, </w:t>
      </w:r>
      <w:hyperlink r:id="rId7" w:history="1">
        <w:r w:rsidRPr="00346D67">
          <w:rPr>
            <w:rStyle w:val="Hyperlink"/>
          </w:rPr>
          <w:t>ww</w:t>
        </w:r>
        <w:r w:rsidRPr="00346D67">
          <w:rPr>
            <w:rStyle w:val="Hyperlink"/>
          </w:rPr>
          <w:t>w</w:t>
        </w:r>
        <w:r w:rsidRPr="00346D67">
          <w:rPr>
            <w:rStyle w:val="Hyperlink"/>
          </w:rPr>
          <w:t>.nsopr.gov</w:t>
        </w:r>
      </w:hyperlink>
      <w:r>
        <w:t xml:space="preserve">; however, the same information will likely appear in the information furnished by the FBI. </w:t>
      </w:r>
    </w:p>
    <w:p w:rsidR="00C046E9" w:rsidRDefault="00C046E9" w:rsidP="00C046E9">
      <w:pPr>
        <w:pStyle w:val="LISTNUMBERDOUBLE"/>
        <w:numPr>
          <w:ilvl w:val="0"/>
          <w:numId w:val="6"/>
        </w:numPr>
        <w:spacing w:before="0" w:after="0"/>
      </w:pPr>
      <w:r>
        <w:t>The provisions in t</w:t>
      </w:r>
      <w:r w:rsidRPr="0007682E">
        <w:t xml:space="preserve">he School Code </w:t>
      </w:r>
      <w:r>
        <w:t xml:space="preserve">described above also apply to employees of persons or firms holding contracts with a school district who have direct, daily contact with students (105 ILCS 5/10-21.9(f)). See administrative procedures 4:60-AP3, </w:t>
      </w:r>
      <w:r>
        <w:rPr>
          <w:i/>
        </w:rPr>
        <w:t>Criminal History Records Check o</w:t>
      </w:r>
      <w:r w:rsidRPr="006F1099">
        <w:rPr>
          <w:i/>
        </w:rPr>
        <w:t>f Contractor Employees</w:t>
      </w:r>
      <w:r>
        <w:t xml:space="preserve">, and 5:30-AP2, </w:t>
      </w:r>
      <w:r w:rsidRPr="000F78D2">
        <w:rPr>
          <w:i/>
        </w:rPr>
        <w:t>Investigations</w:t>
      </w:r>
      <w:r>
        <w:t>.</w:t>
      </w:r>
    </w:p>
    <w:p w:rsidR="00C046E9" w:rsidRDefault="00C046E9" w:rsidP="00C046E9">
      <w:pPr>
        <w:pStyle w:val="LISTNUMBERDOUBLE"/>
        <w:numPr>
          <w:ilvl w:val="0"/>
          <w:numId w:val="6"/>
        </w:numPr>
        <w:spacing w:before="0" w:after="0"/>
      </w:pPr>
      <w:r>
        <w:t>Conviction of an offense listed in 105 ILCS 5/21B-80(c) results in the automatic suspension or revocation of the individual’s license. Conviction of an offense listed in 105 ILCS 5/21B-80(b), depending upon whether the individual’s sentence has been satisfactorily completely and seven years have passed since that date, may result in automatic suspension or revocation of the individual’s license.</w:t>
      </w:r>
    </w:p>
    <w:p w:rsidR="00C046E9" w:rsidRDefault="00C046E9" w:rsidP="00C046E9">
      <w:pPr>
        <w:pStyle w:val="LISTNUMBERDOUBLE"/>
        <w:numPr>
          <w:ilvl w:val="0"/>
          <w:numId w:val="6"/>
        </w:numPr>
        <w:spacing w:before="0" w:after="0"/>
      </w:pPr>
      <w:r>
        <w:t xml:space="preserve">The offender notification laws require law enforcement to ascertain whether a juvenile sex offender or violent offender against youth is enrolled in a school and, if so, to provide a copy of the registration form to the Building Principal and any guidance counselor designated by him or her. This registration form must be kept separately from any and all school records maintained on behalf of the juvenile sex offender. See Board policy 4:175, </w:t>
      </w:r>
      <w:r w:rsidRPr="007F1765">
        <w:rPr>
          <w:i/>
        </w:rPr>
        <w:t>Convicted Child Sex Offender;</w:t>
      </w:r>
      <w:r w:rsidRPr="00425DD5">
        <w:rPr>
          <w:i/>
        </w:rPr>
        <w:t xml:space="preserve"> Screen</w:t>
      </w:r>
      <w:r>
        <w:rPr>
          <w:i/>
        </w:rPr>
        <w:t>ing</w:t>
      </w:r>
      <w:r w:rsidRPr="00425DD5">
        <w:rPr>
          <w:i/>
        </w:rPr>
        <w:t xml:space="preserve">; </w:t>
      </w:r>
      <w:r w:rsidRPr="007F1765">
        <w:rPr>
          <w:i/>
        </w:rPr>
        <w:t>Notifications</w:t>
      </w:r>
      <w:r>
        <w:t>.</w:t>
      </w:r>
    </w:p>
    <w:p w:rsidR="00C046E9" w:rsidRDefault="00C046E9" w:rsidP="00C046E9">
      <w:pPr>
        <w:pStyle w:val="SUBHEADING"/>
        <w:spacing w:before="0" w:after="0"/>
      </w:pPr>
      <w:r>
        <w:lastRenderedPageBreak/>
        <w:t>Receipt of Information from Law Enforcement</w:t>
      </w:r>
      <w:r>
        <w:rPr>
          <w:u w:val="none"/>
        </w:rPr>
        <w:t xml:space="preserve"> </w:t>
      </w:r>
    </w:p>
    <w:p w:rsidR="00C046E9" w:rsidRDefault="00C046E9" w:rsidP="00C046E9">
      <w:pPr>
        <w:pStyle w:val="BodyText"/>
        <w:spacing w:before="0" w:after="0"/>
      </w:pPr>
      <w:r w:rsidRPr="001931D8">
        <w:rPr>
          <w:b/>
        </w:rPr>
        <w:t>Offender Notification Laws</w:t>
      </w:r>
      <w:r>
        <w:t xml:space="preserve">: The Superintendent or designee shall notify the local law enforcement official or county sheriff that he or she is the District’s official contact person for purposes of the offender notification laws. The Superintendent and/or Building Principal may at any time request information from law enforcement officials regarding sex offenders or violent offenders against youth. </w:t>
      </w:r>
    </w:p>
    <w:p w:rsidR="00C046E9" w:rsidRDefault="00C046E9" w:rsidP="00C046E9">
      <w:pPr>
        <w:pStyle w:val="BodyText"/>
        <w:spacing w:before="0" w:after="0"/>
      </w:pPr>
    </w:p>
    <w:p w:rsidR="00C046E9" w:rsidRDefault="00C046E9" w:rsidP="00C046E9">
      <w:pPr>
        <w:pStyle w:val="BodyText"/>
        <w:spacing w:before="0" w:after="0"/>
      </w:pPr>
      <w:r>
        <w:t>The Superintendent will provide Building Principals and other supervisors with a copy of all lists received from law enforcement officials containing the names and addresses of sex offenders and violent offenders against youth.</w:t>
      </w:r>
    </w:p>
    <w:p w:rsidR="00C046E9" w:rsidRDefault="00C046E9" w:rsidP="00C046E9">
      <w:pPr>
        <w:pStyle w:val="BodyText"/>
        <w:spacing w:before="0" w:after="0"/>
      </w:pPr>
    </w:p>
    <w:p w:rsidR="00C046E9" w:rsidRDefault="00C046E9" w:rsidP="00C046E9">
      <w:pPr>
        <w:pStyle w:val="BodyText"/>
        <w:spacing w:before="0" w:after="0"/>
      </w:pPr>
      <w:r>
        <w:t>The Building Principal or designee shall provide the lists to staff members in his or her building on a need-to-know basis, but in any event:</w:t>
      </w:r>
    </w:p>
    <w:p w:rsidR="00C046E9" w:rsidRDefault="00C046E9" w:rsidP="00C046E9">
      <w:pPr>
        <w:pStyle w:val="ListBullet2"/>
        <w:numPr>
          <w:ilvl w:val="0"/>
          <w:numId w:val="1"/>
        </w:numPr>
      </w:pPr>
      <w:r>
        <w:t>A teacher will be told if one of his or her students, or a student’s parent/guardian, is on a list.</w:t>
      </w:r>
    </w:p>
    <w:p w:rsidR="00C046E9" w:rsidRDefault="00C046E9" w:rsidP="00C046E9">
      <w:pPr>
        <w:pStyle w:val="ListBullet2"/>
        <w:numPr>
          <w:ilvl w:val="0"/>
          <w:numId w:val="1"/>
        </w:numPr>
      </w:pPr>
      <w:r>
        <w:t>The school counselor, nurse, social worker, or other school service personnel will be told if a student or the parent/guardian of a student for whom he or she provides services is on a list.</w:t>
      </w:r>
    </w:p>
    <w:p w:rsidR="00C046E9" w:rsidRDefault="00C046E9" w:rsidP="00C046E9">
      <w:pPr>
        <w:pStyle w:val="BodyText"/>
        <w:spacing w:before="0" w:after="0"/>
      </w:pPr>
    </w:p>
    <w:p w:rsidR="00C046E9" w:rsidRDefault="00C046E9" w:rsidP="00C046E9">
      <w:pPr>
        <w:pStyle w:val="BodyText"/>
        <w:spacing w:before="0" w:after="0"/>
      </w:pPr>
      <w:r>
        <w:t>No person receiving a list shall provide it to any other person, except as provided in these procedures, State law,</w:t>
      </w:r>
      <w:r>
        <w:rPr>
          <w:rStyle w:val="FootnoteReference"/>
        </w:rPr>
        <w:t xml:space="preserve"> </w:t>
      </w:r>
      <w:r>
        <w:t>or as authorized by the Superintendent. Requests for information should be referred to the local law enforcement officials or State Police.</w:t>
      </w:r>
    </w:p>
    <w:p w:rsidR="00C046E9" w:rsidRDefault="00C046E9" w:rsidP="00C046E9">
      <w:pPr>
        <w:pStyle w:val="BodyText"/>
        <w:spacing w:before="0" w:after="0"/>
        <w:rPr>
          <w:b/>
        </w:rPr>
      </w:pPr>
    </w:p>
    <w:p w:rsidR="00C046E9" w:rsidRDefault="00C046E9" w:rsidP="00C046E9">
      <w:pPr>
        <w:pStyle w:val="BodyText"/>
        <w:spacing w:before="0" w:after="0"/>
      </w:pPr>
      <w:r w:rsidRPr="001931D8">
        <w:rPr>
          <w:b/>
        </w:rPr>
        <w:t>Juvenile Delinquency Adjudication Notifications</w:t>
      </w:r>
      <w:r>
        <w:t>: The Superintendent or designee shall contact the Juvenile Division of the County State’s Attorney Office(s) having jurisdiction over the District’s school(s) to discuss how the State’s Attorney shall inform the Superintendent or designee of any students adjudicated as delinquent minors for offenses that would be felonies and/or certain w</w:t>
      </w:r>
      <w:r w:rsidRPr="000B2A70">
        <w:t>eapons</w:t>
      </w:r>
      <w:r>
        <w:t xml:space="preserve"> offenses under the Criminal Code of 2012</w:t>
      </w:r>
      <w:r w:rsidRPr="00500856">
        <w:t xml:space="preserve"> </w:t>
      </w:r>
      <w:r>
        <w:t>(705 ILCS 405/5-901(8)). The Superintendent and/or designee(s) shall ensure the dissemination of such information is limited to the Building Principal and any guidance counselor designated by the Building Principal (</w:t>
      </w:r>
      <w:r w:rsidRPr="00500856">
        <w:rPr>
          <w:u w:val="single"/>
        </w:rPr>
        <w:t>Id</w:t>
      </w:r>
      <w:r>
        <w:t>.)</w:t>
      </w:r>
    </w:p>
    <w:p w:rsidR="00C046E9" w:rsidRDefault="00C046E9" w:rsidP="00C046E9">
      <w:pPr>
        <w:pStyle w:val="BodyText"/>
        <w:spacing w:before="0" w:after="0"/>
      </w:pPr>
    </w:p>
    <w:p w:rsidR="00C046E9" w:rsidRPr="00FE2C1B" w:rsidRDefault="00C046E9" w:rsidP="00C046E9">
      <w:pPr>
        <w:pStyle w:val="SUBHEADING"/>
        <w:spacing w:before="0" w:after="0"/>
        <w:rPr>
          <w:u w:val="none"/>
        </w:rPr>
      </w:pPr>
      <w:r w:rsidRPr="00FE2C1B">
        <w:t>Informing Staff Members and Parents/Guardians About the Law</w:t>
      </w:r>
      <w:r w:rsidRPr="00FE2C1B">
        <w:rPr>
          <w:u w:val="none"/>
        </w:rPr>
        <w:t xml:space="preserve"> </w:t>
      </w:r>
    </w:p>
    <w:p w:rsidR="00C046E9" w:rsidRDefault="00C046E9" w:rsidP="00C046E9">
      <w:pPr>
        <w:pStyle w:val="BodyText"/>
        <w:spacing w:before="0" w:after="0"/>
        <w:rPr>
          <w:i/>
        </w:rPr>
      </w:pPr>
      <w:r w:rsidRPr="00FE2C1B">
        <w:t>Building Principals or their designees shall inform parents/guardians about the availability of information concerning sex offenders during school registration and, if feasible, during parent-teacher conferences.</w:t>
      </w:r>
      <w:r>
        <w:t xml:space="preserve"> </w:t>
      </w:r>
      <w:r w:rsidRPr="00FE2C1B">
        <w:t xml:space="preserve">Information should be distributed about the Statewide Sex Offender Registry, </w:t>
      </w:r>
      <w:hyperlink r:id="rId8" w:history="1">
        <w:r w:rsidRPr="00FE2C1B">
          <w:rPr>
            <w:rStyle w:val="Hyperlink"/>
          </w:rPr>
          <w:t>www.is</w:t>
        </w:r>
        <w:r w:rsidRPr="00FE2C1B">
          <w:rPr>
            <w:rStyle w:val="Hyperlink"/>
          </w:rPr>
          <w:t>p</w:t>
        </w:r>
        <w:r w:rsidRPr="00FE2C1B">
          <w:rPr>
            <w:rStyle w:val="Hyperlink"/>
          </w:rPr>
          <w:t>.state.il.us/sor/</w:t>
        </w:r>
      </w:hyperlink>
      <w:r w:rsidRPr="00FE2C1B">
        <w:t xml:space="preserve">, and the Statewide Murderer and Violent Offender Against Youth Registry, </w:t>
      </w:r>
      <w:hyperlink r:id="rId9" w:history="1">
        <w:r w:rsidRPr="0077306B">
          <w:rPr>
            <w:rStyle w:val="Hyperlink"/>
          </w:rPr>
          <w:t>www.isp.state.il</w:t>
        </w:r>
        <w:r w:rsidRPr="0077306B">
          <w:rPr>
            <w:rStyle w:val="Hyperlink"/>
          </w:rPr>
          <w:t>.</w:t>
        </w:r>
        <w:r w:rsidRPr="0077306B">
          <w:rPr>
            <w:rStyle w:val="Hyperlink"/>
          </w:rPr>
          <w:t>us/cmvo/</w:t>
        </w:r>
      </w:hyperlink>
      <w:r w:rsidRPr="00FE2C1B">
        <w:t>. Information may also be included in the Student Handbook. See the Sex Offender Community Notification Law, 730 ILCS 152/, and exhibit 4:17</w:t>
      </w:r>
      <w:r>
        <w:t>5</w:t>
      </w:r>
      <w:r w:rsidRPr="00FE2C1B">
        <w:t>-</w:t>
      </w:r>
      <w:r>
        <w:t>AP1</w:t>
      </w:r>
      <w:r w:rsidRPr="00FE2C1B">
        <w:t xml:space="preserve">, E1, </w:t>
      </w:r>
      <w:r w:rsidRPr="00FE2C1B">
        <w:rPr>
          <w:i/>
        </w:rPr>
        <w:t xml:space="preserve">Informing </w:t>
      </w:r>
    </w:p>
    <w:p w:rsidR="00C046E9" w:rsidRDefault="00C046E9" w:rsidP="00C046E9">
      <w:pPr>
        <w:pStyle w:val="BodyText"/>
        <w:spacing w:before="0" w:after="0"/>
        <w:rPr>
          <w:i/>
        </w:rPr>
      </w:pPr>
    </w:p>
    <w:p w:rsidR="00C046E9" w:rsidRPr="00FE2C1B" w:rsidRDefault="00C046E9" w:rsidP="00C046E9">
      <w:pPr>
        <w:pStyle w:val="BodyText"/>
        <w:spacing w:before="0" w:after="0"/>
      </w:pPr>
      <w:r w:rsidRPr="00FE2C1B">
        <w:rPr>
          <w:i/>
        </w:rPr>
        <w:t>Parents</w:t>
      </w:r>
      <w:r>
        <w:rPr>
          <w:i/>
        </w:rPr>
        <w:t>/Guardians</w:t>
      </w:r>
      <w:r w:rsidRPr="00FE2C1B">
        <w:rPr>
          <w:i/>
        </w:rPr>
        <w:t xml:space="preserve"> About Offender Community Notification Laws.</w:t>
      </w:r>
    </w:p>
    <w:p w:rsidR="00C046E9" w:rsidRPr="00FE2C1B" w:rsidRDefault="00C046E9" w:rsidP="00C046E9">
      <w:pPr>
        <w:pStyle w:val="BodyText"/>
        <w:spacing w:before="0" w:after="0"/>
      </w:pPr>
      <w:r w:rsidRPr="00FE2C1B">
        <w:t>Requests for additional information shall be referred to local law enforcement officials.</w:t>
      </w:r>
    </w:p>
    <w:p w:rsidR="00C046E9" w:rsidRDefault="00C046E9" w:rsidP="00C046E9">
      <w:pPr>
        <w:pStyle w:val="SUBHEADING"/>
        <w:spacing w:before="0" w:after="0"/>
      </w:pPr>
    </w:p>
    <w:p w:rsidR="00C046E9" w:rsidRDefault="00C046E9" w:rsidP="00C046E9">
      <w:pPr>
        <w:pStyle w:val="SUBHEADING"/>
        <w:spacing w:before="0" w:after="0"/>
        <w:rPr>
          <w:u w:val="none"/>
        </w:rPr>
      </w:pPr>
      <w:r w:rsidRPr="00FE2C1B">
        <w:t>Screening Individuals Who Are Likely to Have Contact with Students at School or School Events</w:t>
      </w:r>
      <w:r w:rsidRPr="00FE2C1B">
        <w:rPr>
          <w:u w:val="none"/>
        </w:rPr>
        <w:t xml:space="preserve"> </w:t>
      </w:r>
    </w:p>
    <w:p w:rsidR="00C046E9" w:rsidRDefault="00C046E9" w:rsidP="00C046E9">
      <w:pPr>
        <w:pStyle w:val="BodyText"/>
        <w:spacing w:before="0" w:after="0"/>
      </w:pPr>
      <w:r>
        <w:t xml:space="preserve">The law is silent with regard to </w:t>
      </w:r>
      <w:r w:rsidRPr="006526F4">
        <w:rPr>
          <w:i/>
        </w:rPr>
        <w:t>screening</w:t>
      </w:r>
      <w:r>
        <w:t xml:space="preserve"> volunteers and i</w:t>
      </w:r>
      <w:r w:rsidRPr="00330AD2">
        <w:t xml:space="preserve">ndividuals in the </w:t>
      </w:r>
      <w:r>
        <w:t>p</w:t>
      </w:r>
      <w:r w:rsidRPr="00330AD2">
        <w:t xml:space="preserve">roximity of a </w:t>
      </w:r>
      <w:r>
        <w:t>s</w:t>
      </w:r>
      <w:r w:rsidRPr="00330AD2">
        <w:t>chool</w:t>
      </w:r>
      <w:r>
        <w:t xml:space="preserve">. </w:t>
      </w:r>
      <w:r w:rsidRPr="00EB5191">
        <w:rPr>
          <w:i/>
        </w:rPr>
        <w:t>Screening</w:t>
      </w:r>
      <w:r>
        <w:t xml:space="preserve"> is not the same as the School Code’s requirement to perform a </w:t>
      </w:r>
      <w:r w:rsidRPr="00EB5191">
        <w:rPr>
          <w:i/>
        </w:rPr>
        <w:t>fingerprint-based criminal history records check</w:t>
      </w:r>
      <w:r>
        <w:t xml:space="preserve"> through (a) the Illinois State Police (ISP) for an individual’s </w:t>
      </w:r>
      <w:r>
        <w:rPr>
          <w:i/>
        </w:rPr>
        <w:t>C</w:t>
      </w:r>
      <w:r w:rsidRPr="00153249">
        <w:rPr>
          <w:i/>
        </w:rPr>
        <w:t xml:space="preserve">riminal </w:t>
      </w:r>
      <w:r>
        <w:rPr>
          <w:i/>
        </w:rPr>
        <w:t>History Records I</w:t>
      </w:r>
      <w:r w:rsidRPr="00153249">
        <w:rPr>
          <w:i/>
        </w:rPr>
        <w:t>nformation</w:t>
      </w:r>
      <w:r>
        <w:t xml:space="preserve"> (CHRI) and (b) the FBI’s national crime information databases (</w:t>
      </w:r>
      <w:r w:rsidRPr="00A55642">
        <w:t>105 ILCS 5/10-21.9</w:t>
      </w:r>
      <w:r>
        <w:t>).</w:t>
      </w:r>
    </w:p>
    <w:p w:rsidR="00C046E9" w:rsidRDefault="00C046E9" w:rsidP="00C046E9">
      <w:pPr>
        <w:pStyle w:val="BodyText"/>
        <w:spacing w:before="0" w:after="0"/>
      </w:pPr>
    </w:p>
    <w:p w:rsidR="00C046E9" w:rsidRPr="000A6EC8" w:rsidRDefault="00C046E9" w:rsidP="00C046E9">
      <w:pPr>
        <w:pStyle w:val="BodyText"/>
        <w:spacing w:before="0" w:after="0"/>
      </w:pPr>
      <w:r>
        <w:t xml:space="preserve">Screening involves checking an </w:t>
      </w:r>
      <w:r w:rsidRPr="00527887">
        <w:t>individual’s name and address against the: (1) Illinois Sex Offender Registry, www.isp.state.il.us/sor/, and (2) the Violent Offender Against Youth Registry maintained by the State Police, www.isp.state.il.us/cmvo/. 105 ILCS 5/10-21.9(a-5), (a-6).</w:t>
      </w:r>
    </w:p>
    <w:p w:rsidR="00C046E9" w:rsidRPr="00345D11" w:rsidRDefault="00C046E9" w:rsidP="00C046E9">
      <w:pPr>
        <w:pStyle w:val="LISTNUMBERDOUBLE"/>
        <w:numPr>
          <w:ilvl w:val="0"/>
          <w:numId w:val="3"/>
        </w:numPr>
        <w:spacing w:before="0" w:after="0"/>
        <w:rPr>
          <w:u w:val="single"/>
        </w:rPr>
      </w:pPr>
      <w:r>
        <w:t>For e</w:t>
      </w:r>
      <w:r w:rsidRPr="0006149C">
        <w:t>mployees</w:t>
      </w:r>
      <w:r>
        <w:t xml:space="preserve"> </w:t>
      </w:r>
      <w:r w:rsidRPr="0006149C">
        <w:t>and student teachers</w:t>
      </w:r>
      <w:r>
        <w:t xml:space="preserve">, the Superintendent </w:t>
      </w:r>
      <w:r w:rsidRPr="00FE2C1B">
        <w:t>or Building Principal(s)</w:t>
      </w:r>
      <w:r>
        <w:t>:</w:t>
      </w:r>
    </w:p>
    <w:p w:rsidR="00C046E9" w:rsidRDefault="00C046E9" w:rsidP="00C046E9">
      <w:pPr>
        <w:pStyle w:val="BodyTextDoubleIndent"/>
        <w:numPr>
          <w:ilvl w:val="1"/>
          <w:numId w:val="2"/>
        </w:numPr>
        <w:spacing w:before="0" w:after="0"/>
        <w:ind w:left="1080" w:right="0"/>
      </w:pPr>
      <w:r>
        <w:lastRenderedPageBreak/>
        <w:t xml:space="preserve">Completes the required forms to request the </w:t>
      </w:r>
      <w:r w:rsidRPr="000926E7">
        <w:rPr>
          <w:i/>
        </w:rPr>
        <w:t>fingerprint-based criminal history records check</w:t>
      </w:r>
      <w:r>
        <w:t>;</w:t>
      </w:r>
      <w:r w:rsidRPr="0006149C">
        <w:t xml:space="preserve"> see 5:30-A</w:t>
      </w:r>
      <w:r w:rsidRPr="00FE2C1B">
        <w:t xml:space="preserve">P2, </w:t>
      </w:r>
      <w:r w:rsidRPr="000926E7">
        <w:rPr>
          <w:i/>
        </w:rPr>
        <w:t>Investigations</w:t>
      </w:r>
      <w:r>
        <w:t>.</w:t>
      </w:r>
      <w:r w:rsidRPr="000926E7">
        <w:t xml:space="preserve"> 105 ILCS 5/10-21.9(a). </w:t>
      </w:r>
    </w:p>
    <w:p w:rsidR="00C046E9" w:rsidRPr="00E92AAE" w:rsidRDefault="00C046E9" w:rsidP="00C046E9">
      <w:pPr>
        <w:pStyle w:val="BodyTextDoubleIndent"/>
        <w:numPr>
          <w:ilvl w:val="1"/>
          <w:numId w:val="2"/>
        </w:numPr>
        <w:spacing w:before="0" w:after="0"/>
        <w:ind w:left="1080" w:right="0"/>
      </w:pPr>
      <w:r w:rsidRPr="000926E7">
        <w:rPr>
          <w:i/>
        </w:rPr>
        <w:t>Screens</w:t>
      </w:r>
      <w:r w:rsidRPr="00E92AAE">
        <w:t xml:space="preserve"> </w:t>
      </w:r>
      <w:r>
        <w:t xml:space="preserve">the individual’s </w:t>
      </w:r>
      <w:r w:rsidRPr="00E92AAE">
        <w:t>name and address against the:</w:t>
      </w:r>
      <w:r>
        <w:t xml:space="preserve"> </w:t>
      </w:r>
      <w:r w:rsidRPr="00E92AAE">
        <w:t xml:space="preserve">(1) Illinois Sex Offender Registry, </w:t>
      </w:r>
      <w:hyperlink r:id="rId10" w:history="1">
        <w:r w:rsidRPr="0073012F">
          <w:rPr>
            <w:rStyle w:val="Hyperlink"/>
          </w:rPr>
          <w:t>www.isp.state.il.us/sor/</w:t>
        </w:r>
      </w:hyperlink>
      <w:r w:rsidRPr="00E92AAE">
        <w:t xml:space="preserve">, and (2) the Violent Offender Against Youth Registry maintained by the State Police, </w:t>
      </w:r>
      <w:hyperlink r:id="rId11" w:history="1">
        <w:r w:rsidRPr="0073012F">
          <w:rPr>
            <w:rStyle w:val="Hyperlink"/>
          </w:rPr>
          <w:t>www.isp.state.il.us/cmvo/</w:t>
        </w:r>
      </w:hyperlink>
      <w:r w:rsidRPr="00E92AAE">
        <w:t>.</w:t>
      </w:r>
      <w:r>
        <w:t xml:space="preserve"> 105 ILCS 5/10-21.9(a-5), (a-6).</w:t>
      </w:r>
    </w:p>
    <w:p w:rsidR="00C046E9" w:rsidRDefault="00C046E9" w:rsidP="00C046E9">
      <w:pPr>
        <w:pStyle w:val="BodyTextDoubleIndent"/>
        <w:numPr>
          <w:ilvl w:val="1"/>
          <w:numId w:val="2"/>
        </w:numPr>
        <w:spacing w:before="0" w:after="0"/>
        <w:ind w:left="1080" w:right="0"/>
      </w:pPr>
      <w:r>
        <w:t>Reviews the lists</w:t>
      </w:r>
      <w:r w:rsidRPr="00FE2C1B">
        <w:t xml:space="preserve"> of sex offenders </w:t>
      </w:r>
      <w:r>
        <w:t>and</w:t>
      </w:r>
      <w:r w:rsidRPr="00FE2C1B">
        <w:t xml:space="preserve"> violent offenders against youth</w:t>
      </w:r>
      <w:r>
        <w:t xml:space="preserve"> as the lists are received from </w:t>
      </w:r>
      <w:r w:rsidRPr="00FE2C1B">
        <w:t>law enforcement</w:t>
      </w:r>
      <w:r>
        <w:t xml:space="preserve">. </w:t>
      </w:r>
      <w:r w:rsidRPr="00FE2C1B">
        <w:t>If a match is found, the Superintendent immediately contact</w:t>
      </w:r>
      <w:r>
        <w:t>s</w:t>
      </w:r>
      <w:r w:rsidRPr="00FE2C1B">
        <w:t xml:space="preserve"> the local police officials to confirm or disprove the match.</w:t>
      </w:r>
      <w:r>
        <w:t xml:space="preserve"> </w:t>
      </w:r>
      <w:r w:rsidRPr="00FE2C1B">
        <w:t xml:space="preserve">The Superintendent </w:t>
      </w:r>
      <w:r>
        <w:t>immediately notifies</w:t>
      </w:r>
      <w:r w:rsidRPr="00FE2C1B">
        <w:t xml:space="preserve"> the Board if a match is confirmed.</w:t>
      </w:r>
      <w:r>
        <w:t xml:space="preserve"> </w:t>
      </w:r>
      <w:r w:rsidRPr="00FE2C1B">
        <w:t>The Board President will contact the Board Attorney and the Board will take the appropriate action to comply with State law that may include terminati</w:t>
      </w:r>
      <w:r>
        <w:t>ng the individual’s employment.</w:t>
      </w:r>
    </w:p>
    <w:p w:rsidR="00C046E9" w:rsidRDefault="00C046E9" w:rsidP="00C046E9">
      <w:pPr>
        <w:pStyle w:val="BodyTextDoubleIndent"/>
        <w:numPr>
          <w:ilvl w:val="1"/>
          <w:numId w:val="2"/>
        </w:numPr>
        <w:spacing w:before="0" w:after="0"/>
        <w:ind w:left="1080" w:right="0"/>
      </w:pPr>
      <w:r>
        <w:t xml:space="preserve">May request the individual to authorize a clearance of his or her name through the Ill. Dept. Of Children and Family Services (DCFS) </w:t>
      </w:r>
      <w:r w:rsidRPr="0078256B">
        <w:t>CANTS system</w:t>
      </w:r>
      <w:r>
        <w:t>. This check</w:t>
      </w:r>
      <w:r w:rsidRPr="0078256B">
        <w:t xml:space="preserve"> document</w:t>
      </w:r>
      <w:r>
        <w:t>s that</w:t>
      </w:r>
      <w:r w:rsidRPr="0078256B">
        <w:t xml:space="preserve"> the person does not have a</w:t>
      </w:r>
      <w:r>
        <w:t>n</w:t>
      </w:r>
      <w:r w:rsidRPr="0078256B">
        <w:t xml:space="preserve"> </w:t>
      </w:r>
      <w:r>
        <w:t xml:space="preserve">indicated report or </w:t>
      </w:r>
      <w:r w:rsidRPr="0078256B">
        <w:t xml:space="preserve">record on </w:t>
      </w:r>
      <w:r>
        <w:t>DCFS’</w:t>
      </w:r>
      <w:r w:rsidRPr="0078256B">
        <w:t xml:space="preserve"> registry</w:t>
      </w:r>
      <w:r>
        <w:t xml:space="preserve"> of child abuse and/or neglect. 325 ILCS 5/11.1(a)(11) and (c). Clear</w:t>
      </w:r>
      <w:r w:rsidRPr="0078256B">
        <w:t xml:space="preserve">ances must be requested </w:t>
      </w:r>
      <w:r>
        <w:t>using the</w:t>
      </w:r>
      <w:r w:rsidRPr="0078256B">
        <w:t xml:space="preserve"> DCFS</w:t>
      </w:r>
      <w:r>
        <w:t xml:space="preserve"> form at </w:t>
      </w:r>
    </w:p>
    <w:p w:rsidR="00C046E9" w:rsidRDefault="00C046E9" w:rsidP="00C046E9">
      <w:pPr>
        <w:pStyle w:val="BodyTextDoubleIndent"/>
        <w:spacing w:before="0" w:after="0"/>
        <w:ind w:left="1080" w:right="0"/>
      </w:pPr>
      <w:hyperlink r:id="rId12" w:history="1">
        <w:r w:rsidRPr="00C04626">
          <w:rPr>
            <w:rStyle w:val="Hyperlink"/>
          </w:rPr>
          <w:t>www.illinois.gov/dcfs/aboutus/notices/Documents/cfs_689_authorization_for_background_check</w:t>
        </w:r>
        <w:r w:rsidRPr="00C04626">
          <w:rPr>
            <w:rStyle w:val="Hyperlink"/>
          </w:rPr>
          <w:t>_</w:t>
        </w:r>
        <w:r w:rsidRPr="00C04626">
          <w:rPr>
            <w:rStyle w:val="Hyperlink"/>
          </w:rPr>
          <w:t>for_programs_not_licensed_by_dcfs_(fillable).pdf</w:t>
        </w:r>
      </w:hyperlink>
      <w:r>
        <w:t xml:space="preserve">. </w:t>
      </w:r>
    </w:p>
    <w:p w:rsidR="00C046E9" w:rsidRPr="005D426A" w:rsidRDefault="00C046E9" w:rsidP="00C046E9">
      <w:pPr>
        <w:pStyle w:val="BodyTextDoubleIndent"/>
        <w:spacing w:before="0" w:after="0"/>
        <w:ind w:left="1080" w:right="0"/>
      </w:pPr>
      <w:r>
        <w:t>If an indicated report is found, contact the Board Attorney for guidance.</w:t>
      </w:r>
    </w:p>
    <w:p w:rsidR="00C046E9" w:rsidRDefault="00C046E9" w:rsidP="00C046E9">
      <w:pPr>
        <w:pStyle w:val="LISTNUMBERDOUBLE"/>
        <w:numPr>
          <w:ilvl w:val="0"/>
          <w:numId w:val="3"/>
        </w:numPr>
        <w:spacing w:before="0" w:after="0"/>
      </w:pPr>
      <w:r>
        <w:t>For students d</w:t>
      </w:r>
      <w:r w:rsidRPr="0006149C">
        <w:t xml:space="preserve">oing </w:t>
      </w:r>
      <w:r>
        <w:t>f</w:t>
      </w:r>
      <w:r w:rsidRPr="0006149C">
        <w:t xml:space="preserve">ield or </w:t>
      </w:r>
      <w:r>
        <w:t>c</w:t>
      </w:r>
      <w:r w:rsidRPr="0006149C">
        <w:t xml:space="preserve">linical </w:t>
      </w:r>
      <w:r>
        <w:t>e</w:t>
      </w:r>
      <w:r w:rsidRPr="0006149C">
        <w:t xml:space="preserve">xperience other than </w:t>
      </w:r>
      <w:r>
        <w:t>s</w:t>
      </w:r>
      <w:r w:rsidRPr="0006149C">
        <w:t xml:space="preserve">tudent </w:t>
      </w:r>
      <w:r>
        <w:t>t</w:t>
      </w:r>
      <w:r w:rsidRPr="0006149C">
        <w:t>eaching</w:t>
      </w:r>
      <w:r>
        <w:t xml:space="preserve">, the Superintendent </w:t>
      </w:r>
      <w:r w:rsidRPr="00FE2C1B">
        <w:t>or Building Principal(s)</w:t>
      </w:r>
      <w:r>
        <w:t>:</w:t>
      </w:r>
    </w:p>
    <w:p w:rsidR="00C046E9" w:rsidRDefault="00C046E9" w:rsidP="00C046E9">
      <w:pPr>
        <w:pStyle w:val="ListAlphaLower"/>
        <w:numPr>
          <w:ilvl w:val="0"/>
          <w:numId w:val="4"/>
        </w:numPr>
      </w:pPr>
      <w:r>
        <w:t>M</w:t>
      </w:r>
      <w:r w:rsidRPr="00FE2C1B">
        <w:t xml:space="preserve">ay require the same fingerprint-based criminal history records check required of student teachers. The cost of this check will be </w:t>
      </w:r>
      <w:r>
        <w:t>reimbursed</w:t>
      </w:r>
      <w:r w:rsidRPr="00FE2C1B">
        <w:t xml:space="preserve"> by the student seeking the experience.</w:t>
      </w:r>
    </w:p>
    <w:p w:rsidR="00C046E9" w:rsidRPr="000F55B0" w:rsidRDefault="00C046E9" w:rsidP="00C046E9">
      <w:pPr>
        <w:pStyle w:val="ListAlphaLower"/>
        <w:numPr>
          <w:ilvl w:val="0"/>
          <w:numId w:val="4"/>
        </w:numPr>
      </w:pPr>
      <w:r>
        <w:t>Performs the responsibilities listed in 1. b. &amp; c., above.</w:t>
      </w:r>
    </w:p>
    <w:p w:rsidR="00C046E9" w:rsidRDefault="00C046E9" w:rsidP="00C046E9">
      <w:pPr>
        <w:pStyle w:val="LISTNUMBERDOUBLE"/>
        <w:numPr>
          <w:ilvl w:val="0"/>
          <w:numId w:val="3"/>
        </w:numPr>
        <w:spacing w:before="0" w:after="0"/>
      </w:pPr>
      <w:r>
        <w:t>For v</w:t>
      </w:r>
      <w:r w:rsidRPr="0006149C">
        <w:t>olunteers</w:t>
      </w:r>
      <w:r>
        <w:t xml:space="preserve">, </w:t>
      </w:r>
      <w:r w:rsidRPr="0006149C">
        <w:t xml:space="preserve">see 6:250-AP, </w:t>
      </w:r>
      <w:r w:rsidRPr="0006149C">
        <w:rPr>
          <w:i/>
        </w:rPr>
        <w:t>Securing and Screening Resource Persons and Volunteers</w:t>
      </w:r>
      <w:r>
        <w:rPr>
          <w:i/>
        </w:rPr>
        <w:t xml:space="preserve">. </w:t>
      </w:r>
      <w:r>
        <w:t xml:space="preserve">The Superintendent </w:t>
      </w:r>
      <w:r w:rsidRPr="00FE2C1B">
        <w:t>or Building Principal(s)</w:t>
      </w:r>
      <w:r>
        <w:t>:</w:t>
      </w:r>
    </w:p>
    <w:p w:rsidR="00C046E9" w:rsidRDefault="00C046E9" w:rsidP="00C046E9">
      <w:pPr>
        <w:pStyle w:val="ListAlphaLower"/>
        <w:numPr>
          <w:ilvl w:val="0"/>
          <w:numId w:val="5"/>
        </w:numPr>
      </w:pPr>
      <w:r>
        <w:t>M</w:t>
      </w:r>
      <w:r w:rsidRPr="00FE2C1B">
        <w:t>ay require the same fingerprint-based criminal history records check required of student teachers.</w:t>
      </w:r>
    </w:p>
    <w:p w:rsidR="00C046E9" w:rsidRPr="000F55B0" w:rsidRDefault="00C046E9" w:rsidP="00C046E9">
      <w:pPr>
        <w:pStyle w:val="ListAlphaLower"/>
        <w:numPr>
          <w:ilvl w:val="0"/>
          <w:numId w:val="5"/>
        </w:numPr>
      </w:pPr>
      <w:r>
        <w:t>Performs the responsibilities listed in 1. b. &amp; c., above.</w:t>
      </w:r>
    </w:p>
    <w:p w:rsidR="00C046E9" w:rsidRPr="0006149C" w:rsidRDefault="00C046E9" w:rsidP="00C046E9">
      <w:pPr>
        <w:pStyle w:val="LISTNUMBERDOUBLE"/>
        <w:numPr>
          <w:ilvl w:val="0"/>
          <w:numId w:val="3"/>
        </w:numPr>
        <w:spacing w:before="0" w:after="0"/>
      </w:pPr>
      <w:r>
        <w:t>For c</w:t>
      </w:r>
      <w:r w:rsidRPr="0006149C">
        <w:t>ontractors’ employees,</w:t>
      </w:r>
      <w:r>
        <w:t xml:space="preserve"> see</w:t>
      </w:r>
      <w:r w:rsidRPr="0006149C">
        <w:t xml:space="preserve"> 4:</w:t>
      </w:r>
      <w:r>
        <w:t>60-AP3</w:t>
      </w:r>
      <w:r w:rsidRPr="0006149C">
        <w:t>,</w:t>
      </w:r>
      <w:r w:rsidRPr="006F1099">
        <w:rPr>
          <w:i/>
        </w:rPr>
        <w:t xml:space="preserve"> </w:t>
      </w:r>
      <w:r>
        <w:rPr>
          <w:i/>
        </w:rPr>
        <w:t>Criminal History Records Check o</w:t>
      </w:r>
      <w:r w:rsidRPr="006F1099">
        <w:rPr>
          <w:i/>
        </w:rPr>
        <w:t>f Contractor Employees</w:t>
      </w:r>
      <w:r w:rsidRPr="0006149C">
        <w:t xml:space="preserve">; 5:30-AP2, </w:t>
      </w:r>
      <w:r w:rsidRPr="0006149C">
        <w:rPr>
          <w:i/>
        </w:rPr>
        <w:t>Investigations</w:t>
      </w:r>
      <w:r>
        <w:t>.</w:t>
      </w:r>
    </w:p>
    <w:p w:rsidR="00C046E9" w:rsidRPr="00FE2C1B" w:rsidRDefault="00C046E9" w:rsidP="00C046E9">
      <w:pPr>
        <w:pStyle w:val="LISTNUMBERDOUBLE"/>
        <w:numPr>
          <w:ilvl w:val="0"/>
          <w:numId w:val="3"/>
        </w:numPr>
        <w:spacing w:before="0" w:after="0"/>
      </w:pPr>
      <w:r>
        <w:t>For individuals in the p</w:t>
      </w:r>
      <w:r w:rsidRPr="0006149C">
        <w:t xml:space="preserve">roximity of </w:t>
      </w:r>
      <w:r>
        <w:t>a s</w:t>
      </w:r>
      <w:r w:rsidRPr="0006149C">
        <w:t>chool</w:t>
      </w:r>
      <w:r>
        <w:t xml:space="preserve"> or bus stop, the </w:t>
      </w:r>
      <w:r w:rsidRPr="006E5C1E">
        <w:t>Building Principal(s)</w:t>
      </w:r>
      <w:r>
        <w:t xml:space="preserve"> review(s) the lists</w:t>
      </w:r>
      <w:r w:rsidRPr="00FE2C1B">
        <w:t xml:space="preserve"> of sex offenders </w:t>
      </w:r>
      <w:r>
        <w:t>and</w:t>
      </w:r>
      <w:r w:rsidRPr="00FE2C1B">
        <w:t xml:space="preserve"> violent offenders against youth</w:t>
      </w:r>
      <w:r>
        <w:t xml:space="preserve"> as they are received from</w:t>
      </w:r>
      <w:r w:rsidRPr="00FE2C1B">
        <w:t xml:space="preserve"> law enforcement</w:t>
      </w:r>
      <w:r>
        <w:t xml:space="preserve">. </w:t>
      </w:r>
      <w:r w:rsidRPr="00FE2C1B">
        <w:t xml:space="preserve">The Building Principal </w:t>
      </w:r>
      <w:r>
        <w:t xml:space="preserve">or designee </w:t>
      </w:r>
      <w:r w:rsidRPr="00FE2C1B">
        <w:t>shall</w:t>
      </w:r>
      <w:r>
        <w:t>:</w:t>
      </w:r>
      <w:r w:rsidRPr="00FE2C1B">
        <w:t xml:space="preserve"> </w:t>
      </w:r>
      <w:r>
        <w:t xml:space="preserve">(a) notify staff members according to the section of this procedure on </w:t>
      </w:r>
      <w:r w:rsidRPr="00C2219B">
        <w:rPr>
          <w:b/>
        </w:rPr>
        <w:t>Receipt of the Information from Law Enforcement</w:t>
      </w:r>
      <w:r w:rsidRPr="00C2219B">
        <w:t>, and (</w:t>
      </w:r>
      <w:r>
        <w:t>b</w:t>
      </w:r>
      <w:r w:rsidRPr="00C2219B">
        <w:t xml:space="preserve">) </w:t>
      </w:r>
      <w:r w:rsidRPr="00FE2C1B">
        <w:t>attempt to alter school bus stops and the route students travel to and from school in order to avoid contact with an individual on such a list.</w:t>
      </w:r>
    </w:p>
    <w:p w:rsidR="00C046E9" w:rsidRPr="00FE2C1B" w:rsidRDefault="00C046E9" w:rsidP="00C046E9">
      <w:pPr>
        <w:pStyle w:val="CROSSREF"/>
        <w:spacing w:before="0"/>
      </w:pPr>
      <w:r w:rsidRPr="00FE2C1B">
        <w:t>CROSS REF.:</w:t>
      </w:r>
      <w:r w:rsidRPr="00FE2C1B">
        <w:tab/>
      </w:r>
      <w:r>
        <w:t xml:space="preserve">4:175 (Convicted Child Sex Offender; </w:t>
      </w:r>
      <w:r w:rsidRPr="00425DD5">
        <w:t>Screen</w:t>
      </w:r>
      <w:r>
        <w:t>ing</w:t>
      </w:r>
      <w:r w:rsidRPr="00425DD5">
        <w:t>;</w:t>
      </w:r>
      <w:r>
        <w:t xml:space="preserve"> Notifications), </w:t>
      </w:r>
      <w:r w:rsidRPr="00FE2C1B">
        <w:t>5:30 (Hiring Process and Criteria), 6:250 (Community Resource Persons and Volunteers), 8:30 (Visitors to and Conduct on School Property)</w:t>
      </w:r>
    </w:p>
    <w:p w:rsidR="00C046E9" w:rsidRDefault="00C046E9" w:rsidP="00C046E9">
      <w:pPr>
        <w:pStyle w:val="CROSSREF"/>
        <w:spacing w:before="0"/>
      </w:pPr>
      <w:r w:rsidRPr="00FE2C1B">
        <w:t>ADMIN. PROC.:</w:t>
      </w:r>
      <w:r w:rsidRPr="00FE2C1B">
        <w:tab/>
      </w:r>
      <w:r>
        <w:t>4:60-AP3 (</w:t>
      </w:r>
      <w:r w:rsidRPr="006F1099">
        <w:t>Criminal History Records Check of Contractor Employees</w:t>
      </w:r>
      <w:r>
        <w:t xml:space="preserve">), </w:t>
      </w:r>
      <w:r w:rsidRPr="00FE2C1B">
        <w:t>4:17</w:t>
      </w:r>
      <w:r>
        <w:t>5</w:t>
      </w:r>
      <w:r w:rsidRPr="00FE2C1B">
        <w:t>-</w:t>
      </w:r>
      <w:r>
        <w:t>AP1</w:t>
      </w:r>
      <w:r w:rsidRPr="00FE2C1B">
        <w:t>, E1 (Informing Parents</w:t>
      </w:r>
      <w:r>
        <w:t>/Guardians</w:t>
      </w:r>
      <w:r w:rsidRPr="00FE2C1B">
        <w:t xml:space="preserve"> About Offender Community Notification Laws), 5:30-AP2 (Investigations), 6:250-AP (Securing and Screening Resource Persons and Volunteers), 6:250-E (Resource Person and Volunteer Information Form and Waiver of Liability), 8:30-AP (Definition of Child Sex Offender), 8:30-E1 (Letter to Parent Regarding Visits to School by Child Sex Offenders), 8:30-E2 (Child Sex Offender’s Request for Permission to Visit School Property)</w:t>
      </w:r>
    </w:p>
    <w:p w:rsidR="00C046E9" w:rsidRDefault="00C046E9" w:rsidP="00C046E9">
      <w:pPr>
        <w:pStyle w:val="CROSSREF"/>
        <w:spacing w:before="0"/>
      </w:pPr>
    </w:p>
    <w:p w:rsidR="007503FC" w:rsidRPr="00C046E9" w:rsidRDefault="007503FC" w:rsidP="00C046E9">
      <w:bookmarkStart w:id="0" w:name="_GoBack"/>
      <w:bookmarkEnd w:id="0"/>
    </w:p>
    <w:sectPr w:rsidR="007503FC" w:rsidRPr="00C046E9">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41" w:rsidRDefault="00C046E9">
    <w:pPr>
      <w:pStyle w:val="Footer"/>
      <w:tabs>
        <w:tab w:val="clear" w:pos="4320"/>
        <w:tab w:val="clear" w:pos="8640"/>
        <w:tab w:val="right" w:pos="9000"/>
      </w:tabs>
    </w:pPr>
  </w:p>
  <w:p w:rsidR="00314E41" w:rsidRDefault="00C046E9">
    <w:pPr>
      <w:pStyle w:val="Footer"/>
      <w:tabs>
        <w:tab w:val="clear" w:pos="4320"/>
        <w:tab w:val="clear" w:pos="8640"/>
        <w:tab w:val="right" w:pos="9000"/>
      </w:tabs>
    </w:pPr>
    <w:r>
      <w:t>4:175-AP1</w:t>
    </w:r>
    <w:r>
      <w:tab/>
    </w:r>
    <w:r>
      <w:t xml:space="preserve">Page </w:t>
    </w:r>
    <w:r>
      <w:fldChar w:fldCharType="begin"/>
    </w:r>
    <w:r>
      <w:instrText xml:space="preserve"> PAGE   \* MERGEFORMAT </w:instrText>
    </w:r>
    <w:r>
      <w:fldChar w:fldCharType="separate"/>
    </w:r>
    <w:r>
      <w:rPr>
        <w:noProof/>
      </w:rPr>
      <w:t>3</w:t>
    </w:r>
    <w:r>
      <w:fldChar w:fldCharType="end"/>
    </w:r>
    <w:r>
      <w:t xml:space="preserve"> of </w:t>
    </w:r>
    <w:r>
      <w:fldChar w:fldCharType="begin"/>
    </w:r>
    <w:r>
      <w:instrText xml:space="preserve"> SECTIONPAGES   \* MERGEFORMAT </w:instrText>
    </w:r>
    <w:r>
      <w:fldChar w:fldCharType="separate"/>
    </w:r>
    <w:r>
      <w:rPr>
        <w:noProof/>
      </w:rPr>
      <w:t>3</w:t>
    </w:r>
    <w:r>
      <w:fldChar w:fldCharType="end"/>
    </w:r>
  </w:p>
  <w:p w:rsidR="00314E41" w:rsidRDefault="00C046E9"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4E41" w:rsidRDefault="00C046E9"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14E41" w:rsidRDefault="00C046E9" w:rsidP="00744161">
    <w:pPr>
      <w:keepLines/>
      <w:jc w:val="center"/>
      <w:rPr>
        <w:sz w:val="16"/>
      </w:rPr>
    </w:pPr>
    <w:r>
      <w:rPr>
        <w:sz w:val="16"/>
      </w:rPr>
      <w:t>Please review this material with your school board attorney before us</w:t>
    </w:r>
    <w:r>
      <w:rPr>
        <w:sz w:val="16"/>
      </w:rPr>
      <w:t>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0345103F"/>
    <w:multiLevelType w:val="singleLevel"/>
    <w:tmpl w:val="0DE2E8F0"/>
    <w:lvl w:ilvl="0">
      <w:start w:val="1"/>
      <w:numFmt w:val="lowerLetter"/>
      <w:lvlText w:val="%1."/>
      <w:legacy w:legacy="1" w:legacySpace="0" w:legacyIndent="360"/>
      <w:lvlJc w:val="left"/>
      <w:pPr>
        <w:ind w:left="1080" w:hanging="360"/>
      </w:pPr>
    </w:lvl>
  </w:abstractNum>
  <w:abstractNum w:abstractNumId="2" w15:restartNumberingAfterBreak="0">
    <w:nsid w:val="19B43F5D"/>
    <w:multiLevelType w:val="singleLevel"/>
    <w:tmpl w:val="40567748"/>
    <w:lvl w:ilvl="0">
      <w:start w:val="1"/>
      <w:numFmt w:val="decimal"/>
      <w:lvlText w:val="%1."/>
      <w:legacy w:legacy="1" w:legacySpace="0" w:legacyIndent="360"/>
      <w:lvlJc w:val="left"/>
      <w:pPr>
        <w:ind w:left="720" w:hanging="360"/>
      </w:pPr>
    </w:lvl>
  </w:abstractNum>
  <w:abstractNum w:abstractNumId="3" w15:restartNumberingAfterBreak="0">
    <w:nsid w:val="1BB35642"/>
    <w:multiLevelType w:val="hybridMultilevel"/>
    <w:tmpl w:val="40567748"/>
    <w:lvl w:ilvl="0" w:tplc="0409000F">
      <w:start w:val="1"/>
      <w:numFmt w:val="decimal"/>
      <w:pStyle w:val="LISTNUMBERDOUBLE"/>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17BA8"/>
    <w:multiLevelType w:val="singleLevel"/>
    <w:tmpl w:val="0DE2E8F0"/>
    <w:lvl w:ilvl="0">
      <w:start w:val="1"/>
      <w:numFmt w:val="lowerLetter"/>
      <w:lvlText w:val="%1."/>
      <w:legacy w:legacy="1" w:legacySpace="0" w:legacyIndent="360"/>
      <w:lvlJc w:val="left"/>
      <w:pPr>
        <w:ind w:left="1080" w:hanging="360"/>
      </w:pPr>
    </w:lvl>
  </w:abstractNum>
  <w:abstractNum w:abstractNumId="5" w15:restartNumberingAfterBreak="0">
    <w:nsid w:val="7BCF08EB"/>
    <w:multiLevelType w:val="singleLevel"/>
    <w:tmpl w:val="40567748"/>
    <w:lvl w:ilvl="0">
      <w:start w:val="1"/>
      <w:numFmt w:val="decimal"/>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D"/>
    <w:rsid w:val="007503FC"/>
    <w:rsid w:val="009D42FD"/>
    <w:rsid w:val="00C0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52F5E-83A6-4216-BF8E-B4526CCE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2F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D42FD"/>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9D42F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2F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D42FD"/>
    <w:rPr>
      <w:rFonts w:ascii="Arial" w:eastAsia="Times New Roman" w:hAnsi="Arial" w:cs="Times New Roman"/>
      <w:b/>
      <w:kern w:val="28"/>
      <w:szCs w:val="20"/>
      <w:u w:val="single"/>
    </w:rPr>
  </w:style>
  <w:style w:type="paragraph" w:styleId="BodyText">
    <w:name w:val="Body Text"/>
    <w:basedOn w:val="Normal"/>
    <w:link w:val="BodyTextChar"/>
    <w:rsid w:val="009D42FD"/>
    <w:pPr>
      <w:spacing w:before="60" w:after="60"/>
      <w:jc w:val="both"/>
    </w:pPr>
  </w:style>
  <w:style w:type="character" w:customStyle="1" w:styleId="BodyTextChar">
    <w:name w:val="Body Text Char"/>
    <w:basedOn w:val="DefaultParagraphFont"/>
    <w:link w:val="BodyText"/>
    <w:rsid w:val="009D42FD"/>
    <w:rPr>
      <w:rFonts w:ascii="Times New Roman" w:eastAsia="Times New Roman" w:hAnsi="Times New Roman" w:cs="Times New Roman"/>
      <w:kern w:val="28"/>
      <w:szCs w:val="20"/>
    </w:rPr>
  </w:style>
  <w:style w:type="paragraph" w:customStyle="1" w:styleId="CROSSREF">
    <w:name w:val="CROSS REF"/>
    <w:basedOn w:val="Normal"/>
    <w:link w:val="CROSSREFChar"/>
    <w:rsid w:val="009D42FD"/>
    <w:pPr>
      <w:keepNext/>
      <w:keepLines/>
      <w:tabs>
        <w:tab w:val="left" w:pos="1800"/>
      </w:tabs>
      <w:spacing w:before="240"/>
      <w:ind w:left="1800" w:hanging="1800"/>
    </w:pPr>
  </w:style>
  <w:style w:type="paragraph" w:styleId="Header">
    <w:name w:val="header"/>
    <w:basedOn w:val="Normal"/>
    <w:link w:val="HeaderChar"/>
    <w:rsid w:val="009D42FD"/>
    <w:pPr>
      <w:tabs>
        <w:tab w:val="center" w:pos="4320"/>
        <w:tab w:val="right" w:pos="8640"/>
      </w:tabs>
    </w:pPr>
  </w:style>
  <w:style w:type="character" w:customStyle="1" w:styleId="HeaderChar">
    <w:name w:val="Header Char"/>
    <w:basedOn w:val="DefaultParagraphFont"/>
    <w:link w:val="Header"/>
    <w:rsid w:val="009D42FD"/>
    <w:rPr>
      <w:rFonts w:ascii="Times New Roman" w:eastAsia="Times New Roman" w:hAnsi="Times New Roman" w:cs="Times New Roman"/>
      <w:kern w:val="28"/>
      <w:szCs w:val="20"/>
    </w:rPr>
  </w:style>
  <w:style w:type="paragraph" w:customStyle="1" w:styleId="BodyTextDoubleIndent">
    <w:name w:val="Body Text Double Indent"/>
    <w:basedOn w:val="BodyTextIndent"/>
    <w:next w:val="BlockText"/>
    <w:link w:val="BodyTextDoubleIndentChar"/>
    <w:rsid w:val="009D42FD"/>
    <w:pPr>
      <w:spacing w:before="60" w:after="60"/>
      <w:ind w:right="360"/>
      <w:jc w:val="both"/>
    </w:pPr>
  </w:style>
  <w:style w:type="character" w:styleId="Hyperlink">
    <w:name w:val="Hyperlink"/>
    <w:rsid w:val="009D42FD"/>
    <w:rPr>
      <w:color w:val="0000FF"/>
      <w:u w:val="single"/>
    </w:rPr>
  </w:style>
  <w:style w:type="character" w:styleId="FootnoteReference">
    <w:name w:val="footnote reference"/>
    <w:rsid w:val="009D42FD"/>
    <w:rPr>
      <w:b/>
      <w:position w:val="2"/>
      <w:sz w:val="18"/>
    </w:rPr>
  </w:style>
  <w:style w:type="paragraph" w:customStyle="1" w:styleId="LISTNUMBERDOUBLE">
    <w:name w:val="LIST NUMBER DOUBLE"/>
    <w:basedOn w:val="ListNumber2"/>
    <w:rsid w:val="009D42FD"/>
    <w:pPr>
      <w:spacing w:before="60" w:after="60"/>
      <w:contextualSpacing w:val="0"/>
      <w:jc w:val="both"/>
    </w:pPr>
  </w:style>
  <w:style w:type="paragraph" w:customStyle="1" w:styleId="SUBHEADING">
    <w:name w:val="SUBHEADING"/>
    <w:basedOn w:val="Normal"/>
    <w:next w:val="BodyText"/>
    <w:link w:val="SUBHEADINGChar"/>
    <w:rsid w:val="009D42FD"/>
    <w:pPr>
      <w:keepNext/>
      <w:spacing w:before="120" w:after="60"/>
    </w:pPr>
    <w:rPr>
      <w:u w:val="single"/>
    </w:rPr>
  </w:style>
  <w:style w:type="paragraph" w:customStyle="1" w:styleId="ListAlphaLower">
    <w:name w:val="List Alpha Lower"/>
    <w:basedOn w:val="Normal"/>
    <w:link w:val="ListAlphaLowerChar"/>
    <w:rsid w:val="009D42FD"/>
    <w:pPr>
      <w:ind w:left="1080" w:hanging="360"/>
      <w:jc w:val="both"/>
    </w:pPr>
  </w:style>
  <w:style w:type="paragraph" w:styleId="ListBullet2">
    <w:name w:val="List Bullet 2"/>
    <w:basedOn w:val="Normal"/>
    <w:rsid w:val="009D42FD"/>
    <w:pPr>
      <w:ind w:left="720" w:hanging="360"/>
      <w:jc w:val="both"/>
    </w:pPr>
  </w:style>
  <w:style w:type="paragraph" w:styleId="BodyTextIndent">
    <w:name w:val="Body Text Indent"/>
    <w:basedOn w:val="Normal"/>
    <w:link w:val="BodyTextIndentChar"/>
    <w:uiPriority w:val="99"/>
    <w:semiHidden/>
    <w:unhideWhenUsed/>
    <w:rsid w:val="009D42FD"/>
    <w:pPr>
      <w:spacing w:after="120"/>
      <w:ind w:left="360"/>
    </w:pPr>
  </w:style>
  <w:style w:type="character" w:customStyle="1" w:styleId="BodyTextIndentChar">
    <w:name w:val="Body Text Indent Char"/>
    <w:basedOn w:val="DefaultParagraphFont"/>
    <w:link w:val="BodyTextIndent"/>
    <w:uiPriority w:val="99"/>
    <w:semiHidden/>
    <w:rsid w:val="009D42FD"/>
    <w:rPr>
      <w:rFonts w:ascii="Times New Roman" w:eastAsia="Times New Roman" w:hAnsi="Times New Roman" w:cs="Times New Roman"/>
      <w:kern w:val="28"/>
      <w:szCs w:val="20"/>
    </w:rPr>
  </w:style>
  <w:style w:type="paragraph" w:styleId="BlockText">
    <w:name w:val="Block Text"/>
    <w:basedOn w:val="Normal"/>
    <w:uiPriority w:val="99"/>
    <w:semiHidden/>
    <w:unhideWhenUsed/>
    <w:rsid w:val="009D42F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Number2">
    <w:name w:val="List Number 2"/>
    <w:basedOn w:val="Normal"/>
    <w:uiPriority w:val="99"/>
    <w:semiHidden/>
    <w:unhideWhenUsed/>
    <w:rsid w:val="009D42FD"/>
    <w:pPr>
      <w:ind w:left="720" w:hanging="360"/>
      <w:contextualSpacing/>
    </w:pPr>
  </w:style>
  <w:style w:type="paragraph" w:styleId="TOCHeading">
    <w:name w:val="TOC Heading"/>
    <w:basedOn w:val="Normal"/>
    <w:next w:val="Normal"/>
    <w:qFormat/>
    <w:rsid w:val="00C046E9"/>
    <w:pPr>
      <w:jc w:val="center"/>
    </w:pPr>
    <w:rPr>
      <w:rFonts w:ascii="Arial" w:hAnsi="Arial"/>
      <w:b/>
      <w:caps/>
    </w:rPr>
  </w:style>
  <w:style w:type="paragraph" w:styleId="Footer">
    <w:name w:val="footer"/>
    <w:basedOn w:val="Normal"/>
    <w:link w:val="FooterChar"/>
    <w:rsid w:val="00C046E9"/>
    <w:pPr>
      <w:tabs>
        <w:tab w:val="center" w:pos="4320"/>
        <w:tab w:val="right" w:pos="8640"/>
      </w:tabs>
    </w:pPr>
  </w:style>
  <w:style w:type="character" w:customStyle="1" w:styleId="FooterChar">
    <w:name w:val="Footer Char"/>
    <w:basedOn w:val="DefaultParagraphFont"/>
    <w:link w:val="Footer"/>
    <w:rsid w:val="00C046E9"/>
    <w:rPr>
      <w:rFonts w:ascii="Times New Roman" w:eastAsia="Times New Roman" w:hAnsi="Times New Roman" w:cs="Times New Roman"/>
      <w:kern w:val="28"/>
      <w:szCs w:val="20"/>
    </w:rPr>
  </w:style>
  <w:style w:type="character" w:customStyle="1" w:styleId="SUBHEADINGChar">
    <w:name w:val="SUBHEADING Char"/>
    <w:link w:val="SUBHEADING"/>
    <w:rsid w:val="00C046E9"/>
    <w:rPr>
      <w:rFonts w:ascii="Times New Roman" w:eastAsia="Times New Roman" w:hAnsi="Times New Roman" w:cs="Times New Roman"/>
      <w:kern w:val="28"/>
      <w:szCs w:val="20"/>
      <w:u w:val="single"/>
    </w:rPr>
  </w:style>
  <w:style w:type="character" w:customStyle="1" w:styleId="BodyTextDoubleIndentChar">
    <w:name w:val="Body Text Double Indent Char"/>
    <w:link w:val="BodyTextDoubleIndent"/>
    <w:rsid w:val="00C046E9"/>
    <w:rPr>
      <w:rFonts w:ascii="Times New Roman" w:eastAsia="Times New Roman" w:hAnsi="Times New Roman" w:cs="Times New Roman"/>
      <w:kern w:val="28"/>
      <w:szCs w:val="20"/>
    </w:rPr>
  </w:style>
  <w:style w:type="character" w:customStyle="1" w:styleId="CROSSREFChar">
    <w:name w:val="CROSS REF Char"/>
    <w:link w:val="CROSSREF"/>
    <w:rsid w:val="00C046E9"/>
    <w:rPr>
      <w:rFonts w:ascii="Times New Roman" w:eastAsia="Times New Roman" w:hAnsi="Times New Roman" w:cs="Times New Roman"/>
      <w:kern w:val="28"/>
      <w:szCs w:val="20"/>
    </w:rPr>
  </w:style>
  <w:style w:type="character" w:customStyle="1" w:styleId="ListAlphaLowerChar">
    <w:name w:val="List Alpha Lower Char"/>
    <w:link w:val="ListAlphaLower"/>
    <w:rsid w:val="00C046E9"/>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state.il.us/s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opr.gov" TargetMode="External"/><Relationship Id="rId12" Type="http://schemas.openxmlformats.org/officeDocument/2006/relationships/hyperlink" Target="http://www.illinois.gov/dcfs/aboutus/notices/Documents/cfs_689_authorization_for_background_check_for_programs_not_licensed_by_dcfs_(fillab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be.net/pdf/guidance_chr.pdf" TargetMode="External"/><Relationship Id="rId11" Type="http://schemas.openxmlformats.org/officeDocument/2006/relationships/hyperlink" Target="http://www.isp.state.il.us/cmvo/" TargetMode="External"/><Relationship Id="rId5" Type="http://schemas.openxmlformats.org/officeDocument/2006/relationships/hyperlink" Target="http://www.isp.state.il.us/cmvo/" TargetMode="External"/><Relationship Id="rId15" Type="http://schemas.openxmlformats.org/officeDocument/2006/relationships/theme" Target="theme/theme1.xml"/><Relationship Id="rId10" Type="http://schemas.openxmlformats.org/officeDocument/2006/relationships/hyperlink" Target="http://www.isp.state.il.us/sor/" TargetMode="External"/><Relationship Id="rId4" Type="http://schemas.openxmlformats.org/officeDocument/2006/relationships/webSettings" Target="webSettings.xml"/><Relationship Id="rId9" Type="http://schemas.openxmlformats.org/officeDocument/2006/relationships/hyperlink" Target="http://www.isp.state.il.us/cmv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2016-11-28T19:06:00Z</dcterms:created>
  <dcterms:modified xsi:type="dcterms:W3CDTF">2016-11-28T19:06:00Z</dcterms:modified>
</cp:coreProperties>
</file>